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3E7EE">
    <v:background id="_x0000_s1025">
      <v:fill type="gradientRadial" on="t" color2="fill lighten(0)" focus="100%" focussize="0f,0f" focusposition="0f,0f" method="linear sigma"/>
    </v:background>
  </w:background>
  <w:body>
    <w:p>
      <w:pPr>
        <w:jc w:val="center"/>
        <w:rPr>
          <w:b/>
          <w:bCs/>
          <w:sz w:val="36"/>
          <w:szCs w:val="44"/>
        </w:rPr>
      </w:pPr>
    </w:p>
    <w:p>
      <w:pPr>
        <w:jc w:val="center"/>
        <w:rPr>
          <w:b/>
          <w:bCs/>
          <w:sz w:val="36"/>
          <w:szCs w:val="44"/>
        </w:rPr>
      </w:pPr>
    </w:p>
    <w:p>
      <w:pPr>
        <w:jc w:val="center"/>
        <w:rPr>
          <w:b/>
          <w:bCs/>
          <w:sz w:val="36"/>
          <w:szCs w:val="44"/>
        </w:rPr>
      </w:pPr>
    </w:p>
    <w:p>
      <w:pPr>
        <w:rPr>
          <w:rFonts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pPr>
    </w:p>
    <w:p>
      <w:pPr>
        <w:jc w:val="center"/>
        <w:rPr>
          <w:rFonts w:ascii="微软雅黑" w:hAnsi="微软雅黑" w:eastAsia="微软雅黑" w:cs="微软雅黑"/>
          <w:b/>
          <w:bCs/>
          <w:sz w:val="24"/>
          <w:szCs w:val="32"/>
          <w14:textFill>
            <w14:gradFill>
              <w14:gsLst>
                <w14:gs w14:pos="50000">
                  <w14:srgbClr w14:val="545459"/>
                </w14:gs>
                <w14:gs w14:pos="0">
                  <w14:srgbClr w14:val="8D8D90"/>
                </w14:gs>
                <w14:gs w14:pos="100000">
                  <w14:srgbClr w14:val="1B1B21"/>
                </w14:gs>
              </w14:gsLst>
              <w14:lin w14:ang="0" w14:scaled="1"/>
            </w14:gradFill>
          </w14:textFill>
        </w:rPr>
      </w:pPr>
    </w:p>
    <w:p>
      <w:pPr>
        <w:jc w:val="center"/>
        <w:rPr>
          <w:rFonts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pPr>
      <w:r>
        <w:rPr>
          <w:rFonts w:hint="eastAsia"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t>N</w:t>
      </w:r>
      <w:r>
        <w:rPr>
          <w:rFonts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t>YIF</w:t>
      </w:r>
      <w:r>
        <w:rPr>
          <w:rFonts w:hint="eastAsia"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t>国际金融分析师（</w:t>
      </w:r>
      <w:r>
        <w:rPr>
          <w:rFonts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t>I</w:t>
      </w:r>
      <w:r>
        <w:rPr>
          <w:rFonts w:hint="eastAsia"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t>FA）</w:t>
      </w:r>
    </w:p>
    <w:p>
      <w:pPr>
        <w:jc w:val="center"/>
        <w:rPr>
          <w:rFonts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pPr>
    </w:p>
    <w:p>
      <w:pPr>
        <w:jc w:val="center"/>
        <w:rPr>
          <w:rFonts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pPr>
      <w:r>
        <w:rPr>
          <w:rFonts w:hint="eastAsia" w:ascii="微软雅黑" w:hAnsi="微软雅黑" w:eastAsia="微软雅黑" w:cs="微软雅黑"/>
          <w:b/>
          <w:bCs/>
          <w:sz w:val="44"/>
          <w:szCs w:val="52"/>
          <w14:textFill>
            <w14:gradFill>
              <w14:gsLst>
                <w14:gs w14:pos="50000">
                  <w14:srgbClr w14:val="545459"/>
                </w14:gs>
                <w14:gs w14:pos="0">
                  <w14:srgbClr w14:val="8D8D90"/>
                </w14:gs>
                <w14:gs w14:pos="100000">
                  <w14:srgbClr w14:val="1B1B21"/>
                </w14:gs>
              </w14:gsLst>
              <w14:lin w14:ang="0" w14:scaled="1"/>
            </w14:gradFill>
          </w14:textFill>
        </w:rPr>
        <w:t>培训项目招生简章</w:t>
      </w:r>
    </w:p>
    <w:p>
      <w:pPr>
        <w:jc w:val="center"/>
        <w:rPr>
          <w:b/>
          <w:bCs/>
          <w:sz w:val="36"/>
          <w:szCs w:val="44"/>
        </w:rPr>
      </w:pPr>
    </w:p>
    <w:p>
      <w:pPr>
        <w:jc w:val="center"/>
        <w:rPr>
          <w:b/>
          <w:bCs/>
          <w:sz w:val="36"/>
          <w:szCs w:val="44"/>
        </w:rPr>
      </w:pPr>
    </w:p>
    <w:p>
      <w:pPr>
        <w:jc w:val="center"/>
        <w:rPr>
          <w:b/>
          <w:bCs/>
          <w:sz w:val="36"/>
          <w:szCs w:val="44"/>
        </w:rPr>
      </w:pPr>
    </w:p>
    <w:p>
      <w:pPr>
        <w:jc w:val="center"/>
        <w:rPr>
          <w:b/>
          <w:bCs/>
          <w:sz w:val="36"/>
          <w:szCs w:val="44"/>
        </w:rPr>
      </w:pPr>
    </w:p>
    <w:p>
      <w:pPr>
        <w:jc w:val="center"/>
        <w:rPr>
          <w:b/>
          <w:bCs/>
          <w:sz w:val="36"/>
          <w:szCs w:val="44"/>
        </w:rPr>
      </w:pPr>
    </w:p>
    <w:p>
      <w:pPr>
        <w:jc w:val="center"/>
        <w:rPr>
          <w:b/>
          <w:bCs/>
          <w:sz w:val="36"/>
          <w:szCs w:val="44"/>
        </w:rPr>
      </w:pPr>
    </w:p>
    <w:p>
      <w:pPr>
        <w:jc w:val="center"/>
        <w:rPr>
          <w:b/>
          <w:bCs/>
          <w:sz w:val="36"/>
          <w:szCs w:val="44"/>
        </w:rPr>
      </w:pPr>
    </w:p>
    <w:p>
      <w:pPr>
        <w:jc w:val="center"/>
        <w:rPr>
          <w:b/>
          <w:bCs/>
          <w:sz w:val="36"/>
          <w:szCs w:val="44"/>
        </w:rPr>
      </w:pPr>
    </w:p>
    <w:p>
      <w:pPr>
        <w:jc w:val="center"/>
        <w:rPr>
          <w:b/>
          <w:bCs/>
          <w:sz w:val="36"/>
          <w:szCs w:val="44"/>
        </w:rPr>
      </w:pPr>
    </w:p>
    <w:p>
      <w:pPr>
        <w:jc w:val="center"/>
        <w:rPr>
          <w:rFonts w:ascii="微软雅黑" w:hAnsi="微软雅黑" w:eastAsia="微软雅黑" w:cs="微软雅黑"/>
          <w:b/>
          <w:bCs/>
          <w:sz w:val="36"/>
          <w:szCs w:val="44"/>
          <w14:textFill>
            <w14:gradFill>
              <w14:gsLst>
                <w14:gs w14:pos="50000">
                  <w14:srgbClr w14:val="545459"/>
                </w14:gs>
                <w14:gs w14:pos="0">
                  <w14:srgbClr w14:val="8D8D90"/>
                </w14:gs>
                <w14:gs w14:pos="100000">
                  <w14:srgbClr w14:val="1B1B21"/>
                </w14:gs>
              </w14:gsLst>
              <w14:lin w14:ang="0" w14:scaled="1"/>
            </w14:gradFill>
          </w14:textFill>
        </w:rPr>
      </w:pPr>
      <w:r>
        <w:rPr>
          <w:rFonts w:ascii="微软雅黑" w:hAnsi="微软雅黑" w:eastAsia="微软雅黑" w:cs="微软雅黑"/>
          <w:b/>
          <w:bCs/>
          <w:sz w:val="36"/>
          <w:szCs w:val="44"/>
          <w14:textFill>
            <w14:gradFill>
              <w14:gsLst>
                <w14:gs w14:pos="50000">
                  <w14:srgbClr w14:val="545459"/>
                </w14:gs>
                <w14:gs w14:pos="0">
                  <w14:srgbClr w14:val="8D8D90"/>
                </w14:gs>
                <w14:gs w14:pos="100000">
                  <w14:srgbClr w14:val="1B1B21"/>
                </w14:gs>
              </w14:gsLst>
              <w14:lin w14:ang="0" w14:scaled="1"/>
            </w14:gradFill>
          </w14:textFill>
        </w:rPr>
        <w:t>2021年3</w:t>
      </w:r>
      <w:r>
        <w:rPr>
          <w:rFonts w:hint="eastAsia" w:ascii="微软雅黑" w:hAnsi="微软雅黑" w:eastAsia="微软雅黑" w:cs="微软雅黑"/>
          <w:b/>
          <w:bCs/>
          <w:sz w:val="36"/>
          <w:szCs w:val="44"/>
          <w14:textFill>
            <w14:gradFill>
              <w14:gsLst>
                <w14:gs w14:pos="50000">
                  <w14:srgbClr w14:val="545459"/>
                </w14:gs>
                <w14:gs w14:pos="0">
                  <w14:srgbClr w14:val="8D8D90"/>
                </w14:gs>
                <w14:gs w14:pos="100000">
                  <w14:srgbClr w14:val="1B1B21"/>
                </w14:gs>
              </w14:gsLst>
              <w14:lin w14:ang="0" w14:scaled="1"/>
            </w14:gradFill>
          </w14:textFill>
        </w:rPr>
        <w:t>月</w:t>
      </w:r>
    </w:p>
    <w:p>
      <w:pPr>
        <w:jc w:val="center"/>
        <w:rPr>
          <w:b/>
          <w:bCs/>
          <w:sz w:val="36"/>
          <w:szCs w:val="44"/>
        </w:rPr>
      </w:pPr>
    </w:p>
    <w:p>
      <w:pPr>
        <w:jc w:val="center"/>
        <w:rPr>
          <w:b/>
          <w:bCs/>
          <w:sz w:val="36"/>
          <w:szCs w:val="44"/>
        </w:rPr>
      </w:pPr>
    </w:p>
    <w:p>
      <w:pPr>
        <w:numPr>
          <w:ilvl w:val="0"/>
          <w:numId w:val="1"/>
        </w:numPr>
        <w:jc w:val="left"/>
        <w:rPr>
          <w:rFonts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pPr>
      <w:r>
        <w:rPr>
          <w:rFonts w:hint="eastAsia"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t>国际金融分析师（</w:t>
      </w:r>
      <w:r>
        <w:rPr>
          <w:rFonts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t>I</w:t>
      </w:r>
      <w:r>
        <w:rPr>
          <w:rFonts w:hint="eastAsia"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t>FA）高端人才培养纲要</w:t>
      </w:r>
    </w:p>
    <w:p>
      <w:pPr>
        <w:ind w:firstLine="420" w:firstLineChars="200"/>
        <w:rPr>
          <w:rFonts w:ascii="微软雅黑" w:hAnsi="微软雅黑" w:eastAsia="微软雅黑" w:cs="微软雅黑"/>
        </w:rPr>
      </w:pPr>
      <w:r>
        <w:rPr>
          <w:rFonts w:hint="eastAsia" w:ascii="微软雅黑" w:hAnsi="微软雅黑" w:eastAsia="微软雅黑" w:cs="微软雅黑"/>
        </w:rPr>
        <w:t>伴随着中国经济的高速发展与金融的逐步开放，</w:t>
      </w:r>
      <w:r>
        <w:rPr>
          <w:rFonts w:ascii="微软雅黑" w:hAnsi="微软雅黑" w:eastAsia="微软雅黑" w:cs="微软雅黑"/>
        </w:rPr>
        <w:t>中国的资本市场正在与国际资本市场</w:t>
      </w:r>
      <w:r>
        <w:rPr>
          <w:rFonts w:hint="eastAsia" w:ascii="微软雅黑" w:hAnsi="微软雅黑" w:eastAsia="微软雅黑" w:cs="微软雅黑"/>
        </w:rPr>
        <w:t>进一步</w:t>
      </w:r>
      <w:r>
        <w:rPr>
          <w:rFonts w:ascii="微软雅黑" w:hAnsi="微软雅黑" w:eastAsia="微软雅黑" w:cs="微软雅黑"/>
        </w:rPr>
        <w:t>接轨，</w:t>
      </w:r>
      <w:r>
        <w:rPr>
          <w:rFonts w:hint="eastAsia" w:ascii="微软雅黑" w:hAnsi="微软雅黑" w:eastAsia="微软雅黑" w:cs="微软雅黑"/>
        </w:rPr>
        <w:t>与此同时，</w:t>
      </w:r>
      <w:r>
        <w:rPr>
          <w:rFonts w:ascii="微软雅黑" w:hAnsi="微软雅黑" w:eastAsia="微软雅黑" w:cs="微软雅黑"/>
        </w:rPr>
        <w:t>国际投资银行、资产管理公司纷纷</w:t>
      </w:r>
      <w:r>
        <w:rPr>
          <w:rFonts w:hint="eastAsia" w:ascii="微软雅黑" w:hAnsi="微软雅黑" w:eastAsia="微软雅黑" w:cs="微软雅黑"/>
        </w:rPr>
        <w:t>开始</w:t>
      </w:r>
      <w:r>
        <w:rPr>
          <w:rFonts w:ascii="微软雅黑" w:hAnsi="微软雅黑" w:eastAsia="微软雅黑" w:cs="微软雅黑"/>
        </w:rPr>
        <w:t>进驻中国</w:t>
      </w:r>
      <w:r>
        <w:rPr>
          <w:rFonts w:hint="eastAsia" w:ascii="微软雅黑" w:hAnsi="微软雅黑" w:eastAsia="微软雅黑" w:cs="微软雅黑"/>
        </w:rPr>
        <w:t>，</w:t>
      </w:r>
      <w:r>
        <w:rPr>
          <w:rFonts w:ascii="微软雅黑" w:hAnsi="微软雅黑" w:eastAsia="微软雅黑" w:cs="微软雅黑"/>
        </w:rPr>
        <w:t>中国央行也正在逐步放开居民直接投资国际资本市场的政策，</w:t>
      </w:r>
      <w:r>
        <w:rPr>
          <w:rFonts w:hint="eastAsia" w:ascii="微软雅黑" w:hAnsi="微软雅黑" w:eastAsia="微软雅黑" w:cs="微软雅黑"/>
        </w:rPr>
        <w:t>这一切都对中国金融市场的人才储备需求提出了更高的要求，</w:t>
      </w:r>
      <w:r>
        <w:rPr>
          <w:rFonts w:ascii="微软雅黑" w:hAnsi="微软雅黑" w:eastAsia="微软雅黑" w:cs="微软雅黑"/>
        </w:rPr>
        <w:t>因此</w:t>
      </w:r>
      <w:r>
        <w:rPr>
          <w:rFonts w:hint="eastAsia" w:ascii="微软雅黑" w:hAnsi="微软雅黑" w:eastAsia="微软雅黑" w:cs="微软雅黑"/>
        </w:rPr>
        <w:t>中国的金融</w:t>
      </w:r>
      <w:r>
        <w:rPr>
          <w:rFonts w:ascii="微软雅黑" w:hAnsi="微软雅黑" w:eastAsia="微软雅黑" w:cs="微软雅黑"/>
        </w:rPr>
        <w:t>市场急需一批熟悉国际投融资</w:t>
      </w:r>
      <w:r>
        <w:rPr>
          <w:rFonts w:hint="eastAsia" w:ascii="微软雅黑" w:hAnsi="微软雅黑" w:eastAsia="微软雅黑" w:cs="微软雅黑"/>
        </w:rPr>
        <w:t>业务和</w:t>
      </w:r>
      <w:r>
        <w:rPr>
          <w:rFonts w:ascii="微软雅黑" w:hAnsi="微软雅黑" w:eastAsia="微软雅黑" w:cs="微软雅黑"/>
        </w:rPr>
        <w:t>资本市场专业流程的技术人才</w:t>
      </w:r>
      <w:r>
        <w:rPr>
          <w:rFonts w:hint="eastAsia" w:ascii="微软雅黑" w:hAnsi="微软雅黑" w:eastAsia="微软雅黑" w:cs="微软雅黑"/>
        </w:rPr>
        <w:t xml:space="preserve">。目前国内对于金融市场人才的需求正在日趋增强，中国在努力培育自身高端金融人才的同时，也在开放的环境下大力借鉴和引进海外优秀金融教育培训领域的经验。 </w:t>
      </w:r>
    </w:p>
    <w:p>
      <w:pPr>
        <w:ind w:firstLine="420" w:firstLineChars="200"/>
        <w:rPr>
          <w:rFonts w:ascii="微软雅黑" w:hAnsi="微软雅黑" w:eastAsia="微软雅黑" w:cs="微软雅黑"/>
        </w:rPr>
      </w:pPr>
      <w:r>
        <w:rPr>
          <w:rFonts w:hint="eastAsia" w:ascii="微软雅黑" w:hAnsi="微软雅黑" w:eastAsia="微软雅黑" w:cs="微软雅黑"/>
        </w:rPr>
        <w:t>成立于1922年的纽约金融学院，作为华尔街百年金融教育学府是世界上第一所在金融领域提供体系化金融专业技能培训的机构。近一百年来，为全球培养过上百万的高级金融人才，</w:t>
      </w:r>
      <w:r>
        <w:rPr>
          <w:rFonts w:ascii="微软雅黑" w:hAnsi="微软雅黑" w:eastAsia="微软雅黑" w:cs="宋体"/>
          <w:szCs w:val="21"/>
        </w:rPr>
        <w:t>著名投资家沃伦•巴菲特也曾参加纽约金融学院的投资证书课程。</w:t>
      </w:r>
      <w:r>
        <w:rPr>
          <w:rFonts w:ascii="微软雅黑" w:hAnsi="微软雅黑" w:eastAsia="微软雅黑" w:cs="微软雅黑"/>
        </w:rPr>
        <w:t>纽约金融学院的</w:t>
      </w:r>
      <w:r>
        <w:rPr>
          <w:rFonts w:hint="eastAsia" w:ascii="微软雅黑" w:hAnsi="微软雅黑" w:eastAsia="微软雅黑" w:cs="微软雅黑"/>
        </w:rPr>
        <w:t>“</w:t>
      </w:r>
      <w:r>
        <w:rPr>
          <w:rFonts w:ascii="微软雅黑" w:hAnsi="微软雅黑" w:eastAsia="微软雅黑" w:cs="微软雅黑"/>
        </w:rPr>
        <w:t>国际金融分析师证书</w:t>
      </w:r>
      <w:r>
        <w:rPr>
          <w:rFonts w:hint="eastAsia" w:ascii="微软雅黑" w:hAnsi="微软雅黑" w:eastAsia="微软雅黑" w:cs="微软雅黑"/>
        </w:rPr>
        <w:t>”</w:t>
      </w:r>
      <w:r>
        <w:rPr>
          <w:rFonts w:ascii="微软雅黑" w:hAnsi="微软雅黑" w:eastAsia="微软雅黑" w:cs="微软雅黑"/>
        </w:rPr>
        <w:t>正是基于华尔街资本市场所需要的专业知识与技能而设计的专业证书，为有志于掌握相关知识、从事国际金融、资本市场职业的青年菁英人士提供学习并掌握国际金融一流专业知识的路径和方法和内容。</w:t>
      </w:r>
    </w:p>
    <w:p>
      <w:pPr>
        <w:ind w:firstLine="420" w:firstLineChars="200"/>
        <w:rPr>
          <w:rFonts w:ascii="微软雅黑" w:hAnsi="微软雅黑" w:eastAsia="微软雅黑" w:cs="微软雅黑"/>
        </w:rPr>
      </w:pPr>
    </w:p>
    <w:p>
      <w:pPr>
        <w:numPr>
          <w:ilvl w:val="0"/>
          <w:numId w:val="1"/>
        </w:numPr>
        <w:rPr>
          <w:rFonts w:ascii="微软雅黑" w:hAnsi="微软雅黑" w:eastAsia="微软雅黑" w:cs="微软雅黑"/>
          <w:b/>
          <w:bCs/>
          <w:color w:val="323E4F" w:themeColor="text2" w:themeShade="BF"/>
          <w:sz w:val="24"/>
          <w:szCs w:val="32"/>
          <w14:textFill>
            <w14:gradFill>
              <w14:gsLst>
                <w14:gs w14:pos="0">
                  <w14:srgbClr w14:val="23607C"/>
                </w14:gs>
                <w14:gs w14:pos="100000">
                  <w14:srgbClr w14:val="0C364F"/>
                </w14:gs>
              </w14:gsLst>
              <w14:lin w14:ang="0" w14:scaled="1"/>
            </w14:gradFill>
          </w14:textFill>
        </w:rPr>
      </w:pPr>
      <w:r>
        <w:rPr>
          <w:rFonts w:hint="eastAsia" w:ascii="微软雅黑" w:hAnsi="微软雅黑" w:eastAsia="微软雅黑" w:cs="微软雅黑"/>
          <w:b/>
          <w:bCs/>
          <w:color w:val="323E4F" w:themeColor="text2" w:themeShade="BF"/>
          <w:sz w:val="24"/>
          <w:szCs w:val="32"/>
          <w14:textFill>
            <w14:gradFill>
              <w14:gsLst>
                <w14:gs w14:pos="0">
                  <w14:srgbClr w14:val="23607C"/>
                </w14:gs>
                <w14:gs w14:pos="100000">
                  <w14:srgbClr w14:val="0C364F"/>
                </w14:gs>
              </w14:gsLst>
              <w14:lin w14:ang="0" w14:scaled="1"/>
            </w14:gradFill>
          </w14:textFill>
        </w:rPr>
        <w:t>国际金融分析师</w:t>
      </w:r>
      <w:r>
        <w:rPr>
          <w:rFonts w:ascii="微软雅黑" w:hAnsi="微软雅黑" w:eastAsia="微软雅黑" w:cs="微软雅黑"/>
          <w:b/>
          <w:bCs/>
          <w:color w:val="323E4F" w:themeColor="text2" w:themeShade="BF"/>
          <w:sz w:val="24"/>
          <w:szCs w:val="32"/>
          <w14:textFill>
            <w14:gradFill>
              <w14:gsLst>
                <w14:gs w14:pos="0">
                  <w14:srgbClr w14:val="23607C"/>
                </w14:gs>
                <w14:gs w14:pos="100000">
                  <w14:srgbClr w14:val="0C364F"/>
                </w14:gs>
              </w14:gsLst>
              <w14:lin w14:ang="0" w14:scaled="1"/>
            </w14:gradFill>
          </w14:textFill>
        </w:rPr>
        <w:t>—</w:t>
      </w:r>
      <w:r>
        <w:rPr>
          <w:rFonts w:hint="eastAsia" w:ascii="微软雅黑" w:hAnsi="微软雅黑" w:eastAsia="微软雅黑" w:cs="微软雅黑"/>
          <w:b/>
          <w:bCs/>
          <w:color w:val="323E4F" w:themeColor="text2" w:themeShade="BF"/>
          <w:sz w:val="24"/>
          <w:szCs w:val="32"/>
          <w14:textFill>
            <w14:gradFill>
              <w14:gsLst>
                <w14:gs w14:pos="0">
                  <w14:srgbClr w14:val="23607C"/>
                </w14:gs>
                <w14:gs w14:pos="100000">
                  <w14:srgbClr w14:val="0C364F"/>
                </w14:gs>
              </w14:gsLst>
              <w14:lin w14:ang="0" w14:scaled="1"/>
            </w14:gradFill>
          </w14:textFill>
        </w:rPr>
        <w:t>源自华尔街的高端职业技能课程</w:t>
      </w:r>
    </w:p>
    <w:p>
      <w:pPr>
        <w:ind w:firstLine="420" w:firstLineChars="200"/>
        <w:rPr>
          <w:rFonts w:ascii="微软雅黑" w:hAnsi="微软雅黑" w:eastAsia="微软雅黑" w:cs="微软雅黑"/>
        </w:rPr>
      </w:pPr>
      <w:r>
        <w:rPr>
          <w:rFonts w:ascii="微软雅黑" w:hAnsi="微软雅黑" w:eastAsia="微软雅黑" w:cs="微软雅黑"/>
        </w:rPr>
        <w:t>I</w:t>
      </w:r>
      <w:r>
        <w:rPr>
          <w:rFonts w:hint="eastAsia" w:ascii="微软雅黑" w:hAnsi="微软雅黑" w:eastAsia="微软雅黑" w:cs="微软雅黑"/>
        </w:rPr>
        <w:t>FA是纽约金融学院“国际金融分析师（</w:t>
      </w:r>
      <w:r>
        <w:rPr>
          <w:rFonts w:ascii="微软雅黑" w:hAnsi="微软雅黑" w:eastAsia="微软雅黑" w:cs="微软雅黑"/>
        </w:rPr>
        <w:t>I</w:t>
      </w:r>
      <w:r>
        <w:rPr>
          <w:rFonts w:hint="eastAsia" w:ascii="微软雅黑" w:hAnsi="微软雅黑" w:eastAsia="微软雅黑" w:cs="微软雅黑"/>
        </w:rPr>
        <w:t>n</w:t>
      </w:r>
      <w:r>
        <w:rPr>
          <w:rFonts w:ascii="微软雅黑" w:hAnsi="微软雅黑" w:eastAsia="微软雅黑" w:cs="微软雅黑"/>
        </w:rPr>
        <w:t>ternational</w:t>
      </w:r>
      <w:r>
        <w:rPr>
          <w:rFonts w:hint="eastAsia" w:ascii="微软雅黑" w:hAnsi="微软雅黑" w:eastAsia="微软雅黑" w:cs="微软雅黑"/>
        </w:rPr>
        <w:t xml:space="preserve"> Financial Analyst）”证书的简称，该证书涵盖了国际资本市场投融资业务以及金融市场业务流程的广泛知识体系，具有很高的国际认可度，包括：证券投资、公司金融、财务报表分析、兼并收购、企业估值、金融衍生品等多项金融高端课程，其内容体系规范、知识与技能要点覆盖全面，经纽约金融学院国际顶级专家设计与审定。根据课程体系与认证体系划为</w:t>
      </w:r>
      <w:r>
        <w:rPr>
          <w:rFonts w:ascii="微软雅黑" w:hAnsi="微软雅黑" w:eastAsia="微软雅黑" w:cs="微软雅黑"/>
        </w:rPr>
        <w:t>I</w:t>
      </w:r>
      <w:r>
        <w:rPr>
          <w:rFonts w:hint="eastAsia" w:ascii="微软雅黑" w:hAnsi="微软雅黑" w:eastAsia="微软雅黑" w:cs="微软雅黑"/>
        </w:rPr>
        <w:t>FA（初级，Level1）、</w:t>
      </w:r>
      <w:r>
        <w:rPr>
          <w:rFonts w:ascii="微软雅黑" w:hAnsi="微软雅黑" w:eastAsia="微软雅黑" w:cs="微软雅黑"/>
        </w:rPr>
        <w:t>I</w:t>
      </w:r>
      <w:r>
        <w:rPr>
          <w:rFonts w:hint="eastAsia" w:ascii="微软雅黑" w:hAnsi="微软雅黑" w:eastAsia="微软雅黑" w:cs="微软雅黑"/>
        </w:rPr>
        <w:t>FA（中级，Level2）、</w:t>
      </w:r>
      <w:r>
        <w:rPr>
          <w:rFonts w:ascii="微软雅黑" w:hAnsi="微软雅黑" w:eastAsia="微软雅黑" w:cs="微软雅黑"/>
        </w:rPr>
        <w:t>I</w:t>
      </w:r>
      <w:r>
        <w:rPr>
          <w:rFonts w:hint="eastAsia" w:ascii="微软雅黑" w:hAnsi="微软雅黑" w:eastAsia="微软雅黑" w:cs="微软雅黑"/>
        </w:rPr>
        <w:t>FA（高级，Level3）三个级别。证书大纲体系见附件。</w:t>
      </w:r>
    </w:p>
    <w:p>
      <w:pPr>
        <w:ind w:firstLine="420" w:firstLineChars="200"/>
        <w:rPr>
          <w:rFonts w:ascii="微软雅黑" w:hAnsi="微软雅黑" w:eastAsia="微软雅黑" w:cs="微软雅黑"/>
        </w:rPr>
      </w:pPr>
    </w:p>
    <w:p>
      <w:pPr>
        <w:numPr>
          <w:ilvl w:val="0"/>
          <w:numId w:val="1"/>
        </w:numPr>
        <w:rPr>
          <w:rFonts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pPr>
      <w:r>
        <w:rPr>
          <w:rFonts w:hint="eastAsia"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t>纽约金融学院</w:t>
      </w:r>
    </w:p>
    <w:p>
      <w:pPr>
        <w:ind w:firstLine="420" w:firstLineChars="200"/>
        <w:rPr>
          <w:rFonts w:ascii="微软雅黑" w:hAnsi="微软雅黑" w:eastAsia="微软雅黑" w:cs="微软雅黑"/>
        </w:rPr>
      </w:pPr>
      <w:r>
        <w:rPr>
          <w:rFonts w:hint="eastAsia" w:ascii="微软雅黑" w:hAnsi="微软雅黑" w:eastAsia="微软雅黑" w:cs="微软雅黑"/>
        </w:rPr>
        <w:t>纽约金融学院成立于1922年，由纽约证券交易所创立，是世界上第一所在金融领域提供体系化金融专业技能培训的机构。纽约金融学院主要提供专业的职业教育及继续教育。在纽约、香港、北京、上海、新德里等国际经济、金融中心设有自己的办公室。目前，纽约金融学院</w:t>
      </w:r>
      <w:r>
        <w:rPr>
          <w:rFonts w:hint="eastAsia" w:ascii="微软雅黑" w:hAnsi="微软雅黑" w:eastAsia="微软雅黑" w:cs="宋体"/>
          <w:szCs w:val="21"/>
        </w:rPr>
        <w:t>拥有超过3</w:t>
      </w:r>
      <w:r>
        <w:rPr>
          <w:rFonts w:ascii="微软雅黑" w:hAnsi="微软雅黑" w:eastAsia="微软雅黑" w:cs="宋体"/>
          <w:szCs w:val="21"/>
        </w:rPr>
        <w:t>00</w:t>
      </w:r>
      <w:r>
        <w:rPr>
          <w:rFonts w:hint="eastAsia" w:ascii="微软雅黑" w:hAnsi="微软雅黑" w:eastAsia="微软雅黑" w:cs="宋体"/>
          <w:szCs w:val="21"/>
        </w:rPr>
        <w:t>位海内外资深行业专家，上千门</w:t>
      </w:r>
      <w:r>
        <w:rPr>
          <w:rFonts w:ascii="微软雅黑" w:hAnsi="微软雅黑" w:eastAsia="微软雅黑" w:cs="宋体"/>
          <w:szCs w:val="21"/>
        </w:rPr>
        <w:t>全球领先的定制化金融和海外培训课程</w:t>
      </w:r>
      <w:r>
        <w:rPr>
          <w:rFonts w:hint="eastAsia" w:ascii="微软雅黑" w:hAnsi="微软雅黑" w:eastAsia="微软雅黑" w:cs="宋体"/>
          <w:szCs w:val="21"/>
        </w:rPr>
        <w:t>，以及</w:t>
      </w:r>
      <w:r>
        <w:rPr>
          <w:rFonts w:ascii="微软雅黑" w:hAnsi="微软雅黑" w:eastAsia="微软雅黑" w:cs="宋体"/>
          <w:szCs w:val="21"/>
        </w:rPr>
        <w:t>20种针对各金融业务及管理板块的专业证书，近百年来已经为</w:t>
      </w:r>
      <w:r>
        <w:rPr>
          <w:rFonts w:hint="eastAsia" w:ascii="微软雅黑" w:hAnsi="微软雅黑" w:eastAsia="微软雅黑" w:cs="宋体"/>
          <w:szCs w:val="21"/>
        </w:rPr>
        <w:t>全球1</w:t>
      </w:r>
      <w:r>
        <w:rPr>
          <w:rFonts w:ascii="微软雅黑" w:hAnsi="微软雅黑" w:eastAsia="微软雅黑" w:cs="宋体"/>
          <w:szCs w:val="21"/>
        </w:rPr>
        <w:t>25</w:t>
      </w:r>
      <w:r>
        <w:rPr>
          <w:rFonts w:hint="eastAsia" w:ascii="微软雅黑" w:hAnsi="微软雅黑" w:eastAsia="微软雅黑" w:cs="宋体"/>
          <w:szCs w:val="21"/>
        </w:rPr>
        <w:t>个国家培养了</w:t>
      </w:r>
      <w:r>
        <w:rPr>
          <w:rFonts w:ascii="微软雅黑" w:hAnsi="微软雅黑" w:eastAsia="微软雅黑" w:cs="宋体"/>
          <w:szCs w:val="21"/>
        </w:rPr>
        <w:t>超</w:t>
      </w:r>
      <w:r>
        <w:rPr>
          <w:rFonts w:hint="eastAsia" w:ascii="微软雅黑" w:hAnsi="微软雅黑" w:eastAsia="微软雅黑" w:cs="宋体"/>
          <w:szCs w:val="21"/>
        </w:rPr>
        <w:t>过</w:t>
      </w:r>
      <w:r>
        <w:rPr>
          <w:rFonts w:ascii="微软雅黑" w:hAnsi="微软雅黑" w:eastAsia="微软雅黑" w:cs="宋体"/>
          <w:szCs w:val="21"/>
        </w:rPr>
        <w:t>150万行业精英</w:t>
      </w:r>
      <w:r>
        <w:rPr>
          <w:rFonts w:hint="eastAsia" w:ascii="微软雅黑" w:hAnsi="微软雅黑" w:eastAsia="微软雅黑" w:cs="宋体"/>
          <w:szCs w:val="21"/>
        </w:rPr>
        <w:t>，</w:t>
      </w:r>
      <w:r>
        <w:rPr>
          <w:rFonts w:ascii="微软雅黑" w:hAnsi="微软雅黑" w:eastAsia="微软雅黑" w:cs="宋体"/>
          <w:szCs w:val="21"/>
        </w:rPr>
        <w:t>每年有超过</w:t>
      </w:r>
      <w:r>
        <w:rPr>
          <w:rFonts w:hint="eastAsia" w:ascii="微软雅黑" w:hAnsi="微软雅黑" w:eastAsia="微软雅黑" w:cs="宋体"/>
          <w:szCs w:val="21"/>
        </w:rPr>
        <w:t>20万人次参加纽约金融学院的培训课程。</w:t>
      </w:r>
      <w:r>
        <w:rPr>
          <w:rFonts w:ascii="微软雅黑" w:hAnsi="微软雅黑" w:eastAsia="微软雅黑" w:cs="宋体"/>
          <w:szCs w:val="21"/>
        </w:rPr>
        <w:t>著名投资家沃伦•巴菲特也曾参加纽约金融学院的投资课程。纽约金融学院的课程与专业证书在全球享有很高的声誉，纽约金融学院的机构客户及其学生就职单位遍布全球金融监管、银行、保险、基金、金融交易所、审计等主要专业领域，著名机构包括：</w:t>
      </w:r>
      <w:r>
        <w:rPr>
          <w:rFonts w:hint="eastAsia" w:ascii="微软雅黑" w:hAnsi="微软雅黑" w:eastAsia="微软雅黑" w:cs="宋体"/>
          <w:szCs w:val="21"/>
        </w:rPr>
        <w:t>高盛、美银美林、富国银行、美国联邦存款保险公司、Eaton Vance资产管理公司、德勤、普华永道、西班牙BBVA银行、凯斯商学院等。</w:t>
      </w:r>
    </w:p>
    <w:p>
      <w:pPr>
        <w:ind w:firstLine="420" w:firstLineChars="200"/>
        <w:rPr>
          <w:rFonts w:ascii="微软雅黑" w:hAnsi="微软雅黑" w:eastAsia="微软雅黑" w:cs="宋体"/>
          <w:szCs w:val="21"/>
        </w:rPr>
      </w:pPr>
      <w:r>
        <w:rPr>
          <w:rFonts w:hint="eastAsia" w:ascii="微软雅黑" w:hAnsi="微软雅黑" w:eastAsia="微软雅黑" w:cs="微软雅黑"/>
        </w:rPr>
        <w:t>2008年，纽约金融学院进入中国，总部位于北京，致力于将海外优秀的师资和专业课程与证书引入中国，并进行本土化改造。主要业务包括金融机构中高级管理人员的海外培训、E-Learning电子课程培训、主题公开课、企业内训课定制等培训和咨询服务。</w:t>
      </w:r>
      <w:bookmarkStart w:id="0" w:name="_Hlk63345507"/>
      <w:r>
        <w:rPr>
          <w:rFonts w:hint="eastAsia" w:ascii="微软雅黑" w:hAnsi="微软雅黑" w:eastAsia="微软雅黑" w:cs="微软雅黑"/>
        </w:rPr>
        <w:t>著名机构包括：中国银行业协会、中国证券业协会、中国证券投资基金业协会、中国期货业协会、中国保险行业协会、中国银行、交通银行、</w:t>
      </w:r>
      <w:r>
        <w:rPr>
          <w:rFonts w:hint="eastAsia" w:ascii="微软雅黑" w:hAnsi="微软雅黑" w:eastAsia="微软雅黑" w:cs="宋体"/>
          <w:szCs w:val="21"/>
        </w:rPr>
        <w:t>民生银行、中信建投、中信证券、对外经贸大学、厦门大学等。</w:t>
      </w:r>
    </w:p>
    <w:bookmarkEnd w:id="0"/>
    <w:p>
      <w:pPr>
        <w:numPr>
          <w:ilvl w:val="0"/>
          <w:numId w:val="1"/>
        </w:numPr>
        <w:rPr>
          <w:rFonts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pPr>
      <w:r>
        <w:rPr>
          <w:rFonts w:hint="eastAsia"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t>证书样本</w:t>
      </w:r>
    </w:p>
    <w:p>
      <w:pPr>
        <w:rPr>
          <w:rFonts w:ascii="微软雅黑" w:hAnsi="微软雅黑" w:eastAsia="微软雅黑" w:cs="微软雅黑"/>
        </w:rPr>
      </w:pPr>
      <w:r>
        <w:rPr>
          <w:rFonts w:hint="eastAsia" w:ascii="微软雅黑" w:hAnsi="微软雅黑" w:eastAsia="微软雅黑" w:cs="微软雅黑"/>
        </w:rPr>
        <w:t>获得本证书后，可享受以下权益：</w:t>
      </w:r>
    </w:p>
    <w:p>
      <w:pPr>
        <w:numPr>
          <w:ilvl w:val="0"/>
          <w:numId w:val="2"/>
        </w:numPr>
        <w:rPr>
          <w:rFonts w:ascii="微软雅黑" w:hAnsi="微软雅黑" w:eastAsia="微软雅黑" w:cs="微软雅黑"/>
        </w:rPr>
      </w:pPr>
      <w:r>
        <w:rPr>
          <w:rFonts w:hint="eastAsia" w:ascii="微软雅黑" w:hAnsi="微软雅黑" w:eastAsia="微软雅黑" w:cs="微软雅黑"/>
        </w:rPr>
        <w:t>录入纽金全球校友库，获得更多职业发展专业资源；</w:t>
      </w:r>
    </w:p>
    <w:p>
      <w:pPr>
        <w:numPr>
          <w:ilvl w:val="0"/>
          <w:numId w:val="2"/>
        </w:numPr>
        <w:rPr>
          <w:rFonts w:ascii="微软雅黑" w:hAnsi="微软雅黑" w:eastAsia="微软雅黑" w:cs="微软雅黑"/>
        </w:rPr>
      </w:pPr>
      <w:r>
        <w:rPr>
          <w:rFonts w:hint="eastAsia" w:ascii="微软雅黑" w:hAnsi="微软雅黑" w:eastAsia="微软雅黑" w:cs="微软雅黑"/>
        </w:rPr>
        <w:t>纽金终身校友权益，参加全球校友活动，丰富行业知识、拓宽职业交流资源；</w:t>
      </w:r>
    </w:p>
    <w:p>
      <w:pPr>
        <w:numPr>
          <w:ilvl w:val="0"/>
          <w:numId w:val="2"/>
        </w:numPr>
        <w:rPr>
          <w:rFonts w:ascii="微软雅黑" w:hAnsi="微软雅黑" w:eastAsia="微软雅黑" w:cs="微软雅黑"/>
        </w:rPr>
      </w:pPr>
      <w:r>
        <w:rPr>
          <w:rFonts w:hint="eastAsia" w:ascii="微软雅黑" w:hAnsi="微软雅黑" w:eastAsia="微软雅黑" w:cs="微软雅黑"/>
        </w:rPr>
        <w:t>获邀参加针对校友推出的免费课程、讲座、论坛及其它相关活动；</w:t>
      </w:r>
    </w:p>
    <w:p>
      <w:pPr>
        <w:numPr>
          <w:ilvl w:val="0"/>
          <w:numId w:val="2"/>
        </w:numPr>
        <w:rPr>
          <w:rFonts w:ascii="微软雅黑" w:hAnsi="微软雅黑" w:eastAsia="微软雅黑" w:cs="微软雅黑"/>
        </w:rPr>
      </w:pPr>
      <w:r>
        <w:rPr>
          <w:rFonts w:hint="eastAsia" w:ascii="微软雅黑" w:hAnsi="微软雅黑" w:eastAsia="微软雅黑" w:cs="微软雅黑"/>
        </w:rPr>
        <w:t>获得初/中/高级证书后，持证人每年需参加3/5/7个学时的后续教育；</w:t>
      </w:r>
    </w:p>
    <w:p>
      <w:pPr>
        <w:numPr>
          <w:ilvl w:val="0"/>
          <w:numId w:val="2"/>
        </w:numPr>
        <w:rPr>
          <w:rFonts w:ascii="微软雅黑" w:hAnsi="微软雅黑" w:eastAsia="微软雅黑" w:cs="微软雅黑"/>
          <w:b/>
          <w:bCs/>
          <w:sz w:val="32"/>
          <w:szCs w:val="40"/>
        </w:rPr>
      </w:pPr>
      <w:r>
        <w:rPr>
          <w:rFonts w:ascii="微软雅黑" w:hAnsi="微软雅黑" w:eastAsia="微软雅黑" w:cs="微软雅黑"/>
        </w:rPr>
        <w:t>凡是考取本证书的中国区学员，纽金将邀请其参加纽金专门针对中国区校友举办的协助职业素养提升、金融英语能力建设、开拓国际视野及建立职业人脉的各类学习和联谊活动。</w:t>
      </w:r>
      <w:r>
        <w:rPr>
          <w:rFonts w:hint="eastAsia" w:ascii="微软雅黑" w:hAnsi="微软雅黑" w:eastAsia="微软雅黑" w:cs="微软雅黑"/>
          <w:b/>
          <w:bCs/>
          <w:sz w:val="32"/>
          <w:szCs w:val="40"/>
        </w:rPr>
        <w:t xml:space="preserve">  </w:t>
      </w:r>
    </w:p>
    <w:p>
      <w:pPr>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证书样本</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drawing>
          <wp:inline distT="0" distB="0" distL="114300" distR="114300">
            <wp:extent cx="2398395" cy="1866265"/>
            <wp:effectExtent l="0" t="0" r="1905" b="635"/>
            <wp:docPr id="1" name="图片 1" descr="纽金-首页-国际金融分析师-0316-zhende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纽金-首页-国际金融分析师-0316-zhende_副本"/>
                    <pic:cNvPicPr>
                      <a:picLocks noChangeAspect="1"/>
                    </pic:cNvPicPr>
                  </pic:nvPicPr>
                  <pic:blipFill>
                    <a:blip r:embed="rId4"/>
                    <a:stretch>
                      <a:fillRect/>
                    </a:stretch>
                  </pic:blipFill>
                  <pic:spPr>
                    <a:xfrm>
                      <a:off x="0" y="0"/>
                      <a:ext cx="2398395" cy="1866265"/>
                    </a:xfrm>
                    <a:prstGeom prst="rect">
                      <a:avLst/>
                    </a:prstGeom>
                  </pic:spPr>
                </pic:pic>
              </a:graphicData>
            </a:graphic>
          </wp:inline>
        </w:drawing>
      </w:r>
    </w:p>
    <w:p>
      <w:pPr>
        <w:jc w:val="center"/>
        <w:rPr>
          <w:rFonts w:hint="eastAsia" w:ascii="微软雅黑" w:hAnsi="微软雅黑" w:eastAsia="微软雅黑" w:cs="微软雅黑"/>
          <w:b/>
          <w:bCs/>
          <w:sz w:val="32"/>
          <w:szCs w:val="40"/>
          <w:lang w:eastAsia="zh-CN"/>
        </w:rPr>
      </w:pPr>
    </w:p>
    <w:p>
      <w:pPr>
        <w:rPr>
          <w:rFonts w:hint="eastAsia" w:ascii="微软雅黑" w:hAnsi="微软雅黑" w:eastAsia="微软雅黑" w:cs="微软雅黑"/>
          <w:lang w:val="en-US" w:eastAsia="zh-CN"/>
        </w:rPr>
      </w:pPr>
      <w:r>
        <w:rPr>
          <w:rFonts w:ascii="微软雅黑" w:hAnsi="微软雅黑" w:eastAsia="微软雅黑" w:cs="微软雅黑"/>
        </w:rPr>
        <w:drawing>
          <wp:anchor distT="0" distB="0" distL="0" distR="0" simplePos="0" relativeHeight="251658240" behindDoc="0" locked="0" layoutInCell="1" allowOverlap="1">
            <wp:simplePos x="0" y="0"/>
            <wp:positionH relativeFrom="column">
              <wp:posOffset>3057525</wp:posOffset>
            </wp:positionH>
            <wp:positionV relativeFrom="paragraph">
              <wp:posOffset>88900</wp:posOffset>
            </wp:positionV>
            <wp:extent cx="2400935" cy="1898015"/>
            <wp:effectExtent l="0" t="0" r="1841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00935" cy="1898015"/>
                    </a:xfrm>
                    <a:prstGeom prst="rect">
                      <a:avLst/>
                    </a:prstGeom>
                    <a:noFill/>
                    <a:ln>
                      <a:noFill/>
                    </a:ln>
                  </pic:spPr>
                </pic:pic>
              </a:graphicData>
            </a:graphic>
          </wp:anchor>
        </w:drawing>
      </w:r>
      <w:r>
        <w:rPr>
          <w:rFonts w:ascii="微软雅黑" w:hAnsi="微软雅黑" w:eastAsia="微软雅黑" w:cs="微软雅黑"/>
        </w:rPr>
        <w:drawing>
          <wp:inline distT="0" distB="0" distL="114300" distR="114300">
            <wp:extent cx="2491105" cy="1852295"/>
            <wp:effectExtent l="0" t="0" r="4445" b="14605"/>
            <wp:docPr id="2" name="图片 2" descr="纽金-第二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纽金-第二页"/>
                    <pic:cNvPicPr>
                      <a:picLocks noChangeAspect="1"/>
                    </pic:cNvPicPr>
                  </pic:nvPicPr>
                  <pic:blipFill>
                    <a:blip r:embed="rId6"/>
                    <a:stretch>
                      <a:fillRect/>
                    </a:stretch>
                  </pic:blipFill>
                  <pic:spPr>
                    <a:xfrm>
                      <a:off x="0" y="0"/>
                      <a:ext cx="2491105" cy="1852295"/>
                    </a:xfrm>
                    <a:prstGeom prst="rect">
                      <a:avLst/>
                    </a:prstGeom>
                  </pic:spPr>
                </pic:pic>
              </a:graphicData>
            </a:graphic>
          </wp:inline>
        </w:drawing>
      </w:r>
      <w:r>
        <w:rPr>
          <w:rFonts w:hint="eastAsia" w:ascii="微软雅黑" w:hAnsi="微软雅黑" w:eastAsia="微软雅黑" w:cs="微软雅黑"/>
          <w:lang w:val="en-US" w:eastAsia="zh-CN"/>
        </w:rPr>
        <w:t xml:space="preserve">   </w:t>
      </w:r>
    </w:p>
    <w:p>
      <w:pPr>
        <w:rPr>
          <w:rFonts w:hint="eastAsia" w:ascii="微软雅黑" w:hAnsi="微软雅黑" w:eastAsia="微软雅黑" w:cs="微软雅黑"/>
          <w:lang w:val="en-US" w:eastAsia="zh-CN"/>
        </w:rPr>
      </w:pPr>
    </w:p>
    <w:p>
      <w:pPr>
        <w:numPr>
          <w:ilvl w:val="0"/>
          <w:numId w:val="3"/>
        </w:numPr>
        <w:rPr>
          <w:rFonts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pPr>
      <w:r>
        <w:rPr>
          <w:rFonts w:hint="eastAsia" w:ascii="微软雅黑" w:hAnsi="微软雅黑" w:eastAsia="微软雅黑" w:cs="微软雅黑"/>
          <w:b/>
          <w:bCs/>
          <w:color w:val="2F5496" w:themeColor="accent5" w:themeShade="BF"/>
          <w:sz w:val="24"/>
          <w:szCs w:val="32"/>
          <w14:textFill>
            <w14:gradFill>
              <w14:gsLst>
                <w14:gs w14:pos="0">
                  <w14:srgbClr w14:val="23607C"/>
                </w14:gs>
                <w14:gs w14:pos="100000">
                  <w14:srgbClr w14:val="0C364F"/>
                </w14:gs>
              </w14:gsLst>
              <w14:lin w14:ang="0" w14:scaled="1"/>
            </w14:gradFill>
          </w14:textFill>
        </w:rPr>
        <w:t>报考条件：（报考不限专业，符合各级别条件之一即可报名）</w:t>
      </w:r>
    </w:p>
    <w:p>
      <w:pPr>
        <w:rPr>
          <w:rFonts w:ascii="微软雅黑" w:hAnsi="微软雅黑" w:eastAsia="微软雅黑" w:cs="微软雅黑"/>
          <w:color w:val="2F5597" w:themeColor="accent5" w:themeShade="BF"/>
          <w:sz w:val="18"/>
          <w:szCs w:val="21"/>
        </w:rPr>
      </w:pPr>
    </w:p>
    <w:tbl>
      <w:tblPr>
        <w:tblStyle w:val="9"/>
        <w:tblW w:w="872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2469"/>
        <w:gridCol w:w="3060"/>
        <w:gridCol w:w="319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2469" w:type="dxa"/>
            <w:tcBorders>
              <w:tl2br w:val="nil"/>
              <w:tr2bl w:val="nil"/>
            </w:tcBorders>
            <w:shd w:val="clear" w:color="auto" w:fill="D6DCE5" w:themeFill="text2" w:themeFillTint="32"/>
          </w:tcPr>
          <w:p>
            <w:pPr>
              <w:jc w:val="cente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pPr>
            <w: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I</w:t>
            </w:r>
            <w:r>
              <w:rPr>
                <w:rFonts w:hint="eastAsia"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FA（初级，Level1）</w:t>
            </w:r>
          </w:p>
        </w:tc>
        <w:tc>
          <w:tcPr>
            <w:tcW w:w="3060" w:type="dxa"/>
            <w:tcBorders>
              <w:tl2br w:val="nil"/>
              <w:tr2bl w:val="nil"/>
            </w:tcBorders>
            <w:shd w:val="clear" w:color="auto" w:fill="D6DCE5" w:themeFill="text2" w:themeFillTint="32"/>
          </w:tcPr>
          <w:p>
            <w:pPr>
              <w:jc w:val="cente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pPr>
            <w: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I</w:t>
            </w:r>
            <w:r>
              <w:rPr>
                <w:rFonts w:hint="eastAsia"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FA（中级，Level2）</w:t>
            </w:r>
          </w:p>
        </w:tc>
        <w:tc>
          <w:tcPr>
            <w:tcW w:w="3195" w:type="dxa"/>
            <w:tcBorders>
              <w:tl2br w:val="nil"/>
              <w:tr2bl w:val="nil"/>
            </w:tcBorders>
            <w:shd w:val="clear" w:color="auto" w:fill="D6DCE5" w:themeFill="text2" w:themeFillTint="32"/>
          </w:tcPr>
          <w:p>
            <w:pPr>
              <w:jc w:val="cente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pPr>
            <w: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I</w:t>
            </w:r>
            <w:r>
              <w:rPr>
                <w:rFonts w:hint="eastAsia"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FA（高级，Level3）</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2469" w:type="dxa"/>
            <w:tcBorders>
              <w:tl2br w:val="nil"/>
              <w:tr2bl w:val="nil"/>
            </w:tcBorders>
            <w:shd w:val="clear" w:color="auto" w:fill="F1F1F1" w:themeFill="background1" w:themeFillShade="F2"/>
            <w:vAlign w:val="center"/>
          </w:tcPr>
          <w:p>
            <w:pPr>
              <w:numPr>
                <w:ilvl w:val="0"/>
                <w:numId w:val="4"/>
              </w:num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本科或本科以上同等学历学生；</w:t>
            </w:r>
          </w:p>
          <w:p>
            <w:pPr>
              <w:numPr>
                <w:ilvl w:val="0"/>
                <w:numId w:val="4"/>
              </w:num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大专或大专以上同等学历应届毕业生并有相关实践经验。</w:t>
            </w:r>
          </w:p>
        </w:tc>
        <w:tc>
          <w:tcPr>
            <w:tcW w:w="3060" w:type="dxa"/>
            <w:tcBorders>
              <w:tl2br w:val="nil"/>
              <w:tr2bl w:val="nil"/>
            </w:tcBorders>
            <w:shd w:val="clear" w:color="auto" w:fill="F1F1F1" w:themeFill="background1" w:themeFillShade="F2"/>
            <w:vAlign w:val="center"/>
          </w:tcPr>
          <w:p>
            <w:pPr>
              <w:numPr>
                <w:ilvl w:val="0"/>
                <w:numId w:val="5"/>
              </w:num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已通过</w:t>
            </w:r>
            <w:r>
              <w:rPr>
                <w:rFonts w:ascii="微软雅黑" w:hAnsi="微软雅黑" w:eastAsia="微软雅黑" w:cs="微软雅黑"/>
                <w:color w:val="333F50" w:themeColor="text2" w:themeShade="BF"/>
              </w:rPr>
              <w:t>I</w:t>
            </w:r>
            <w:r>
              <w:rPr>
                <w:rFonts w:hint="eastAsia" w:ascii="微软雅黑" w:hAnsi="微软雅黑" w:eastAsia="微软雅黑" w:cs="微软雅黑"/>
                <w:color w:val="333F50" w:themeColor="text2" w:themeShade="BF"/>
              </w:rPr>
              <w:t>FA（Level1）认证；</w:t>
            </w:r>
          </w:p>
          <w:p>
            <w:pPr>
              <w:numPr>
                <w:ilvl w:val="0"/>
                <w:numId w:val="5"/>
              </w:num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研究生或研究生以上同等学历应届毕业生；</w:t>
            </w:r>
          </w:p>
          <w:p>
            <w:pPr>
              <w:numPr>
                <w:ilvl w:val="0"/>
                <w:numId w:val="5"/>
              </w:num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本科以上或同等学历并从事金融相关工作一年以上；</w:t>
            </w:r>
          </w:p>
          <w:p>
            <w:pPr>
              <w:numPr>
                <w:ilvl w:val="0"/>
                <w:numId w:val="5"/>
              </w:num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大专以上或同等学历并从事金融相关工作两年以上。</w:t>
            </w:r>
          </w:p>
        </w:tc>
        <w:tc>
          <w:tcPr>
            <w:tcW w:w="3195" w:type="dxa"/>
            <w:tcBorders>
              <w:tl2br w:val="nil"/>
              <w:tr2bl w:val="nil"/>
            </w:tcBorders>
            <w:shd w:val="clear" w:color="auto" w:fill="F1F1F1" w:themeFill="background1" w:themeFillShade="F2"/>
            <w:vAlign w:val="center"/>
          </w:tcPr>
          <w:p>
            <w:p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1、已通过IFA（Level2）认证；</w:t>
            </w:r>
          </w:p>
          <w:p>
            <w:p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2、研究生以上同等学历并从事金融相关工作一年以上；</w:t>
            </w:r>
          </w:p>
          <w:p>
            <w:p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3、本科以上或同等学历并从事金融相关工作两年以上；</w:t>
            </w:r>
          </w:p>
          <w:p>
            <w:pPr>
              <w:rPr>
                <w:rFonts w:ascii="微软雅黑" w:hAnsi="微软雅黑" w:eastAsia="微软雅黑" w:cs="微软雅黑"/>
                <w:color w:val="333F50" w:themeColor="text2" w:themeShade="BF"/>
              </w:rPr>
            </w:pPr>
            <w:r>
              <w:rPr>
                <w:rFonts w:hint="eastAsia" w:ascii="微软雅黑" w:hAnsi="微软雅黑" w:eastAsia="微软雅黑" w:cs="微软雅黑"/>
                <w:color w:val="333F50" w:themeColor="text2" w:themeShade="BF"/>
              </w:rPr>
              <w:t>4、大专以上或同等学历并从事金融相关工作三年以上。</w:t>
            </w:r>
          </w:p>
        </w:tc>
      </w:tr>
    </w:tbl>
    <w:p>
      <w:pPr>
        <w:rPr>
          <w:rFonts w:ascii="微软雅黑" w:hAnsi="微软雅黑" w:eastAsia="微软雅黑" w:cs="微软雅黑"/>
          <w:sz w:val="18"/>
          <w:szCs w:val="21"/>
        </w:rPr>
      </w:pPr>
    </w:p>
    <w:p>
      <w:pPr>
        <w:numPr>
          <w:ilvl w:val="0"/>
          <w:numId w:val="6"/>
        </w:numPr>
        <w:rPr>
          <w:rFonts w:ascii="微软雅黑" w:hAnsi="微软雅黑" w:eastAsia="微软雅黑" w:cs="微软雅黑"/>
          <w:b/>
          <w:bCs/>
          <w:color w:val="323E4F" w:themeColor="text2" w:themeShade="BF"/>
          <w:sz w:val="24"/>
          <w:szCs w:val="32"/>
          <w14:textFill>
            <w14:gradFill>
              <w14:gsLst>
                <w14:gs w14:pos="0">
                  <w14:srgbClr w14:val="23607C"/>
                </w14:gs>
                <w14:gs w14:pos="100000">
                  <w14:srgbClr w14:val="0C364F"/>
                </w14:gs>
              </w14:gsLst>
              <w14:lin w14:ang="0" w14:scaled="1"/>
            </w14:gradFill>
          </w14:textFill>
        </w:rPr>
      </w:pPr>
      <w:r>
        <w:rPr>
          <w:rFonts w:hint="eastAsia" w:ascii="微软雅黑" w:hAnsi="微软雅黑" w:eastAsia="微软雅黑" w:cs="微软雅黑"/>
          <w:b/>
          <w:bCs/>
          <w:color w:val="323E4F" w:themeColor="text2" w:themeShade="BF"/>
          <w:sz w:val="24"/>
          <w:szCs w:val="32"/>
          <w14:textFill>
            <w14:gradFill>
              <w14:gsLst>
                <w14:gs w14:pos="0">
                  <w14:srgbClr w14:val="23607C"/>
                </w14:gs>
                <w14:gs w14:pos="100000">
                  <w14:srgbClr w14:val="0C364F"/>
                </w14:gs>
              </w14:gsLst>
              <w14:lin w14:ang="0" w14:scaled="1"/>
            </w14:gradFill>
          </w14:textFill>
        </w:rPr>
        <w:t>费用标准</w:t>
      </w:r>
    </w:p>
    <w:tbl>
      <w:tblPr>
        <w:tblStyle w:val="9"/>
        <w:tblW w:w="872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2469"/>
        <w:gridCol w:w="3060"/>
        <w:gridCol w:w="319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2469" w:type="dxa"/>
            <w:tcBorders>
              <w:tl2br w:val="nil"/>
              <w:tr2bl w:val="nil"/>
            </w:tcBorders>
            <w:shd w:val="clear" w:color="auto" w:fill="D6DCE5" w:themeFill="text2" w:themeFillTint="32"/>
          </w:tcPr>
          <w:p>
            <w:pPr>
              <w:jc w:val="cente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pPr>
            <w: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I</w:t>
            </w:r>
            <w:r>
              <w:rPr>
                <w:rFonts w:hint="eastAsia"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FA（初级，Level1）</w:t>
            </w:r>
          </w:p>
        </w:tc>
        <w:tc>
          <w:tcPr>
            <w:tcW w:w="3060" w:type="dxa"/>
            <w:tcBorders>
              <w:tl2br w:val="nil"/>
              <w:tr2bl w:val="nil"/>
            </w:tcBorders>
            <w:shd w:val="clear" w:color="auto" w:fill="D6DCE5" w:themeFill="text2" w:themeFillTint="32"/>
          </w:tcPr>
          <w:p>
            <w:pPr>
              <w:jc w:val="cente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pPr>
            <w: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I</w:t>
            </w:r>
            <w:r>
              <w:rPr>
                <w:rFonts w:hint="eastAsia"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FA（中级，Level2）</w:t>
            </w:r>
          </w:p>
        </w:tc>
        <w:tc>
          <w:tcPr>
            <w:tcW w:w="3195" w:type="dxa"/>
            <w:tcBorders>
              <w:tl2br w:val="nil"/>
              <w:tr2bl w:val="nil"/>
            </w:tcBorders>
            <w:shd w:val="clear" w:color="auto" w:fill="D6DCE5" w:themeFill="text2" w:themeFillTint="32"/>
          </w:tcPr>
          <w:p>
            <w:pPr>
              <w:jc w:val="cente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pPr>
            <w:r>
              <w:rPr>
                <w:rFonts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I</w:t>
            </w:r>
            <w:r>
              <w:rPr>
                <w:rFonts w:hint="eastAsia" w:ascii="微软雅黑" w:hAnsi="微软雅黑" w:eastAsia="微软雅黑" w:cs="微软雅黑"/>
                <w:b/>
                <w:bCs/>
                <w:color w:val="7E5F00" w:themeColor="accent4" w:themeShade="7F"/>
                <w14:textFill>
                  <w14:gradFill>
                    <w14:gsLst>
                      <w14:gs w14:pos="0">
                        <w14:srgbClr w14:val="23607C"/>
                      </w14:gs>
                      <w14:gs w14:pos="100000">
                        <w14:srgbClr w14:val="0C364F"/>
                      </w14:gs>
                    </w14:gsLst>
                    <w14:lin w14:ang="0" w14:scaled="1"/>
                  </w14:gradFill>
                </w14:textFill>
              </w:rPr>
              <w:t>FA（高级，Level3）</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2469" w:type="dxa"/>
            <w:tcBorders>
              <w:tl2br w:val="nil"/>
              <w:tr2bl w:val="nil"/>
            </w:tcBorders>
            <w:shd w:val="clear" w:color="auto" w:fill="F1F1F1" w:themeFill="background1" w:themeFillShade="F2"/>
            <w:vAlign w:val="center"/>
          </w:tcPr>
          <w:p>
            <w:pPr>
              <w:jc w:val="center"/>
              <w:rPr>
                <w:rFonts w:ascii="微软雅黑" w:hAnsi="微软雅黑" w:eastAsia="微软雅黑" w:cs="微软雅黑"/>
              </w:rPr>
            </w:pPr>
            <w:r>
              <w:rPr>
                <w:rFonts w:hint="eastAsia" w:ascii="微软雅黑" w:hAnsi="微软雅黑" w:eastAsia="微软雅黑" w:cs="微软雅黑"/>
              </w:rPr>
              <w:t>2280元</w:t>
            </w:r>
          </w:p>
          <w:p>
            <w:pPr>
              <w:jc w:val="center"/>
              <w:rPr>
                <w:rFonts w:ascii="微软雅黑" w:hAnsi="微软雅黑" w:eastAsia="微软雅黑" w:cs="微软雅黑"/>
              </w:rPr>
            </w:pPr>
            <w:r>
              <w:rPr>
                <w:rFonts w:hint="eastAsia" w:ascii="微软雅黑" w:hAnsi="微软雅黑" w:eastAsia="微软雅黑" w:cs="微软雅黑"/>
              </w:rPr>
              <w:t>（含报名费、培训费、考试认证费）</w:t>
            </w:r>
          </w:p>
        </w:tc>
        <w:tc>
          <w:tcPr>
            <w:tcW w:w="3060" w:type="dxa"/>
            <w:tcBorders>
              <w:tl2br w:val="nil"/>
              <w:tr2bl w:val="nil"/>
            </w:tcBorders>
            <w:shd w:val="clear" w:color="auto" w:fill="F1F1F1" w:themeFill="background1" w:themeFillShade="F2"/>
            <w:vAlign w:val="center"/>
          </w:tcPr>
          <w:p>
            <w:pPr>
              <w:jc w:val="center"/>
              <w:rPr>
                <w:rFonts w:ascii="微软雅黑" w:hAnsi="微软雅黑" w:eastAsia="微软雅黑" w:cs="微软雅黑"/>
              </w:rPr>
            </w:pPr>
            <w:r>
              <w:rPr>
                <w:rFonts w:hint="eastAsia" w:ascii="微软雅黑" w:hAnsi="微软雅黑" w:eastAsia="微软雅黑" w:cs="微软雅黑"/>
                <w:lang w:val="en-US" w:eastAsia="zh-CN"/>
              </w:rPr>
              <w:t>128</w:t>
            </w:r>
            <w:r>
              <w:rPr>
                <w:rFonts w:hint="eastAsia" w:ascii="微软雅黑" w:hAnsi="微软雅黑" w:eastAsia="微软雅黑" w:cs="微软雅黑"/>
              </w:rPr>
              <w:t>00元</w:t>
            </w:r>
          </w:p>
          <w:p>
            <w:pPr>
              <w:jc w:val="center"/>
              <w:rPr>
                <w:rFonts w:ascii="微软雅黑" w:hAnsi="微软雅黑" w:eastAsia="微软雅黑" w:cs="微软雅黑"/>
              </w:rPr>
            </w:pPr>
            <w:r>
              <w:rPr>
                <w:rFonts w:hint="eastAsia" w:ascii="微软雅黑" w:hAnsi="微软雅黑" w:eastAsia="微软雅黑" w:cs="微软雅黑"/>
              </w:rPr>
              <w:t>（含报名费、培训费、</w:t>
            </w:r>
          </w:p>
          <w:p>
            <w:pPr>
              <w:jc w:val="center"/>
              <w:rPr>
                <w:rFonts w:ascii="微软雅黑" w:hAnsi="微软雅黑" w:eastAsia="微软雅黑" w:cs="微软雅黑"/>
              </w:rPr>
            </w:pPr>
            <w:r>
              <w:rPr>
                <w:rFonts w:hint="eastAsia" w:ascii="微软雅黑" w:hAnsi="微软雅黑" w:eastAsia="微软雅黑" w:cs="微软雅黑"/>
              </w:rPr>
              <w:t>考试认证费）</w:t>
            </w:r>
          </w:p>
        </w:tc>
        <w:tc>
          <w:tcPr>
            <w:tcW w:w="3195" w:type="dxa"/>
            <w:tcBorders>
              <w:tl2br w:val="nil"/>
              <w:tr2bl w:val="nil"/>
            </w:tcBorders>
            <w:shd w:val="clear" w:color="auto" w:fill="F1F1F1" w:themeFill="background1" w:themeFillShade="F2"/>
            <w:vAlign w:val="center"/>
          </w:tcPr>
          <w:p>
            <w:pPr>
              <w:jc w:val="center"/>
              <w:rPr>
                <w:rFonts w:ascii="微软雅黑" w:hAnsi="微软雅黑" w:eastAsia="微软雅黑" w:cs="微软雅黑"/>
              </w:rPr>
            </w:pPr>
            <w:r>
              <w:rPr>
                <w:rFonts w:hint="eastAsia" w:ascii="微软雅黑" w:hAnsi="微软雅黑" w:eastAsia="微软雅黑" w:cs="微软雅黑"/>
                <w:lang w:val="en-US" w:eastAsia="zh-CN"/>
              </w:rPr>
              <w:t>268</w:t>
            </w:r>
            <w:r>
              <w:rPr>
                <w:rFonts w:hint="eastAsia" w:ascii="微软雅黑" w:hAnsi="微软雅黑" w:eastAsia="微软雅黑" w:cs="微软雅黑"/>
              </w:rPr>
              <w:t>00元</w:t>
            </w:r>
          </w:p>
          <w:p>
            <w:pPr>
              <w:jc w:val="center"/>
              <w:rPr>
                <w:rFonts w:ascii="微软雅黑" w:hAnsi="微软雅黑" w:eastAsia="微软雅黑" w:cs="微软雅黑"/>
              </w:rPr>
            </w:pPr>
            <w:r>
              <w:rPr>
                <w:rFonts w:hint="eastAsia" w:ascii="微软雅黑" w:hAnsi="微软雅黑" w:eastAsia="微软雅黑" w:cs="微软雅黑"/>
              </w:rPr>
              <w:t>（含报名费、培训费、</w:t>
            </w:r>
          </w:p>
          <w:p>
            <w:pPr>
              <w:jc w:val="center"/>
              <w:rPr>
                <w:rFonts w:ascii="微软雅黑" w:hAnsi="微软雅黑" w:eastAsia="微软雅黑" w:cs="微软雅黑"/>
              </w:rPr>
            </w:pPr>
            <w:r>
              <w:rPr>
                <w:rFonts w:hint="eastAsia" w:ascii="微软雅黑" w:hAnsi="微软雅黑" w:eastAsia="微软雅黑" w:cs="微软雅黑"/>
              </w:rPr>
              <w:t>考试认证费）</w:t>
            </w:r>
          </w:p>
        </w:tc>
      </w:tr>
    </w:tbl>
    <w:p>
      <w:pPr>
        <w:rPr>
          <w:rFonts w:ascii="微软雅黑" w:hAnsi="微软雅黑" w:eastAsia="微软雅黑" w:cs="微软雅黑"/>
          <w:color w:val="2F5597" w:themeColor="accent5" w:themeShade="BF"/>
          <w:sz w:val="18"/>
          <w:szCs w:val="21"/>
        </w:rPr>
      </w:pPr>
    </w:p>
    <w:p>
      <w:pPr>
        <w:numPr>
          <w:ilvl w:val="0"/>
          <w:numId w:val="6"/>
        </w:numPr>
        <w:rPr>
          <w:rFonts w:ascii="微软雅黑" w:hAnsi="微软雅黑" w:eastAsia="微软雅黑" w:cs="微软雅黑"/>
          <w:b/>
          <w:bCs/>
          <w:color w:val="323E4F" w:themeColor="text2" w:themeShade="BF"/>
          <w:sz w:val="24"/>
          <w:szCs w:val="32"/>
          <w14:textFill>
            <w14:gradFill>
              <w14:gsLst>
                <w14:gs w14:pos="0">
                  <w14:srgbClr w14:val="23607C"/>
                </w14:gs>
                <w14:gs w14:pos="100000">
                  <w14:srgbClr w14:val="0C364F"/>
                </w14:gs>
              </w14:gsLst>
              <w14:lin w14:ang="0" w14:scaled="1"/>
            </w14:gradFill>
          </w14:textFill>
        </w:rPr>
      </w:pPr>
      <w:r>
        <w:rPr>
          <w:rFonts w:hint="eastAsia" w:ascii="微软雅黑" w:hAnsi="微软雅黑" w:eastAsia="微软雅黑" w:cs="微软雅黑"/>
          <w:b/>
          <w:bCs/>
          <w:color w:val="323E4F" w:themeColor="text2" w:themeShade="BF"/>
          <w:sz w:val="24"/>
          <w:szCs w:val="32"/>
          <w14:textFill>
            <w14:gradFill>
              <w14:gsLst>
                <w14:gs w14:pos="0">
                  <w14:srgbClr w14:val="23607C"/>
                </w14:gs>
                <w14:gs w14:pos="100000">
                  <w14:srgbClr w14:val="0C364F"/>
                </w14:gs>
              </w14:gsLst>
              <w14:lin w14:ang="0" w14:scaled="1"/>
            </w14:gradFill>
          </w14:textFill>
        </w:rPr>
        <w:t>证书颁发</w:t>
      </w:r>
    </w:p>
    <w:p>
      <w:pPr>
        <w:rPr>
          <w:rFonts w:ascii="微软雅黑" w:hAnsi="微软雅黑" w:eastAsia="微软雅黑" w:cs="微软雅黑"/>
        </w:rPr>
      </w:pPr>
      <w:r>
        <w:rPr>
          <w:rFonts w:hint="eastAsia" w:ascii="微软雅黑" w:hAnsi="微软雅黑" w:eastAsia="微软雅黑" w:cs="微软雅黑"/>
        </w:rPr>
        <w:t>考试合格后，由纽约金融学院颁发相应级别的《N</w:t>
      </w:r>
      <w:r>
        <w:rPr>
          <w:rFonts w:ascii="微软雅黑" w:hAnsi="微软雅黑" w:eastAsia="微软雅黑" w:cs="微软雅黑"/>
        </w:rPr>
        <w:t>YIF</w:t>
      </w:r>
      <w:r>
        <w:rPr>
          <w:rFonts w:hint="eastAsia" w:ascii="微软雅黑" w:hAnsi="微软雅黑" w:eastAsia="微软雅黑" w:cs="微软雅黑"/>
        </w:rPr>
        <w:t>国际金融分析师》证书。</w:t>
      </w:r>
    </w:p>
    <w:p>
      <w:pPr>
        <w:numPr>
          <w:ilvl w:val="0"/>
          <w:numId w:val="6"/>
        </w:numPr>
        <w:rPr>
          <w:rFonts w:ascii="微软雅黑" w:hAnsi="微软雅黑" w:eastAsia="微软雅黑" w:cs="微软雅黑"/>
        </w:rPr>
      </w:pPr>
      <w:r>
        <w:rPr>
          <w:rFonts w:hint="eastAsia" w:ascii="微软雅黑" w:hAnsi="微软雅黑" w:eastAsia="微软雅黑" w:cs="微软雅黑"/>
          <w:b/>
          <w:bCs/>
          <w:color w:val="323E4F" w:themeColor="text2" w:themeShade="BF"/>
          <w:sz w:val="24"/>
          <w:szCs w:val="32"/>
          <w14:textFill>
            <w14:gradFill>
              <w14:gsLst>
                <w14:gs w14:pos="0">
                  <w14:srgbClr w14:val="23607C"/>
                </w14:gs>
                <w14:gs w14:pos="100000">
                  <w14:srgbClr w14:val="0C364F"/>
                </w14:gs>
              </w14:gsLst>
              <w14:lin w14:ang="0" w14:scaled="1"/>
            </w14:gradFill>
          </w14:textFill>
        </w:rPr>
        <w:t>联系方式</w:t>
      </w:r>
      <w:bookmarkStart w:id="1" w:name="_GoBack"/>
      <w:bookmarkEnd w:id="1"/>
    </w:p>
    <w:p>
      <w:pPr>
        <w:rPr>
          <w:rFonts w:ascii="微软雅黑" w:hAnsi="微软雅黑" w:eastAsia="微软雅黑" w:cs="微软雅黑"/>
        </w:rPr>
      </w:pPr>
      <w:r>
        <w:rPr>
          <w:rFonts w:hint="eastAsia" w:ascii="微软雅黑" w:hAnsi="微软雅黑" w:eastAsia="微软雅黑" w:cs="微软雅黑"/>
        </w:rPr>
        <w:t>网    址：纽约金融学院：</w:t>
      </w:r>
      <w:r>
        <w:fldChar w:fldCharType="begin"/>
      </w:r>
      <w:r>
        <w:instrText xml:space="preserve"> HYPERLINK "https://cn.nyif.com/" </w:instrText>
      </w:r>
      <w:r>
        <w:fldChar w:fldCharType="separate"/>
      </w:r>
      <w:r>
        <w:rPr>
          <w:rStyle w:val="11"/>
          <w:rFonts w:hint="eastAsia" w:ascii="微软雅黑" w:hAnsi="微软雅黑" w:eastAsia="微软雅黑" w:cs="微软雅黑"/>
        </w:rPr>
        <w:t>https://cn.nyif.com/</w:t>
      </w:r>
      <w:r>
        <w:rPr>
          <w:rStyle w:val="11"/>
          <w:rFonts w:hint="eastAsia" w:ascii="微软雅黑" w:hAnsi="微软雅黑" w:eastAsia="微软雅黑" w:cs="微软雅黑"/>
        </w:rPr>
        <w:fldChar w:fldCharType="end"/>
      </w:r>
    </w:p>
    <w:p>
      <w:pPr>
        <w:ind w:firstLine="1050" w:firstLineChars="500"/>
        <w:rPr>
          <w:rStyle w:val="11"/>
          <w:rFonts w:ascii="微软雅黑" w:hAnsi="微软雅黑" w:eastAsia="微软雅黑" w:cs="微软雅黑"/>
        </w:rPr>
      </w:pPr>
      <w:r>
        <w:rPr>
          <w:rFonts w:hint="eastAsia" w:ascii="微软雅黑" w:hAnsi="微软雅黑" w:eastAsia="微软雅黑" w:cs="微软雅黑"/>
        </w:rPr>
        <w:t xml:space="preserve">纽约金融学院国际金融分析师、国际理财规划师项目网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"http://www.ecai.org.cn/" </w:instrText>
      </w:r>
      <w:r>
        <w:rPr>
          <w:rFonts w:hint="eastAsia" w:ascii="微软雅黑" w:hAnsi="微软雅黑" w:eastAsia="微软雅黑" w:cs="微软雅黑"/>
        </w:rPr>
        <w:fldChar w:fldCharType="separate"/>
      </w:r>
      <w:r>
        <w:rPr>
          <w:rStyle w:val="11"/>
          <w:rFonts w:hint="eastAsia" w:ascii="微软雅黑" w:hAnsi="微软雅黑" w:eastAsia="微软雅黑" w:cs="微软雅黑"/>
        </w:rPr>
        <w:t>www.ecai.org.cn</w:t>
      </w:r>
    </w:p>
    <w:p>
      <w:pPr>
        <w:rPr>
          <w:rFonts w:ascii="微软雅黑" w:hAnsi="微软雅黑" w:eastAsia="微软雅黑" w:cs="微软雅黑"/>
        </w:rPr>
      </w:pPr>
      <w:r>
        <w:rPr>
          <w:rFonts w:hint="eastAsia" w:ascii="微软雅黑" w:hAnsi="微软雅黑" w:eastAsia="微软雅黑" w:cs="微软雅黑"/>
        </w:rPr>
        <w:fldChar w:fldCharType="end"/>
      </w:r>
      <w:r>
        <w:rPr>
          <w:rFonts w:hint="eastAsia" w:ascii="微软雅黑" w:hAnsi="微软雅黑" w:eastAsia="微软雅黑" w:cs="微软雅黑"/>
        </w:rPr>
        <w:t>联系电话：010-57410401 孙老师 13501208035  刘老师 18810120508</w:t>
      </w:r>
    </w:p>
    <w:p>
      <w:pPr>
        <w:rPr>
          <w:rFonts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BA19B"/>
    <w:multiLevelType w:val="singleLevel"/>
    <w:tmpl w:val="8FEBA19B"/>
    <w:lvl w:ilvl="0" w:tentative="0">
      <w:start w:val="1"/>
      <w:numFmt w:val="bullet"/>
      <w:lvlText w:val=""/>
      <w:lvlJc w:val="left"/>
      <w:pPr>
        <w:ind w:left="420" w:hanging="420"/>
      </w:pPr>
      <w:rPr>
        <w:rFonts w:hint="default" w:ascii="Wingdings" w:hAnsi="Wingdings"/>
      </w:rPr>
    </w:lvl>
  </w:abstractNum>
  <w:abstractNum w:abstractNumId="1">
    <w:nsid w:val="A6AD77DD"/>
    <w:multiLevelType w:val="singleLevel"/>
    <w:tmpl w:val="A6AD77DD"/>
    <w:lvl w:ilvl="0" w:tentative="0">
      <w:start w:val="1"/>
      <w:numFmt w:val="decimal"/>
      <w:suff w:val="nothing"/>
      <w:lvlText w:val="%1、"/>
      <w:lvlJc w:val="left"/>
    </w:lvl>
  </w:abstractNum>
  <w:abstractNum w:abstractNumId="2">
    <w:nsid w:val="E38714A0"/>
    <w:multiLevelType w:val="singleLevel"/>
    <w:tmpl w:val="E38714A0"/>
    <w:lvl w:ilvl="0" w:tentative="0">
      <w:start w:val="1"/>
      <w:numFmt w:val="bullet"/>
      <w:lvlText w:val=""/>
      <w:lvlJc w:val="left"/>
      <w:pPr>
        <w:ind w:left="420" w:hanging="420"/>
      </w:pPr>
      <w:rPr>
        <w:rFonts w:hint="default" w:ascii="Wingdings" w:hAnsi="Wingdings"/>
      </w:rPr>
    </w:lvl>
  </w:abstractNum>
  <w:abstractNum w:abstractNumId="3">
    <w:nsid w:val="0891D209"/>
    <w:multiLevelType w:val="singleLevel"/>
    <w:tmpl w:val="0891D209"/>
    <w:lvl w:ilvl="0" w:tentative="0">
      <w:start w:val="1"/>
      <w:numFmt w:val="bullet"/>
      <w:lvlText w:val=""/>
      <w:lvlJc w:val="left"/>
      <w:pPr>
        <w:ind w:left="420" w:hanging="420"/>
      </w:pPr>
      <w:rPr>
        <w:rFonts w:hint="default" w:ascii="Wingdings" w:hAnsi="Wingdings"/>
      </w:rPr>
    </w:lvl>
  </w:abstractNum>
  <w:abstractNum w:abstractNumId="4">
    <w:nsid w:val="624F5A48"/>
    <w:multiLevelType w:val="singleLevel"/>
    <w:tmpl w:val="624F5A48"/>
    <w:lvl w:ilvl="0" w:tentative="0">
      <w:start w:val="1"/>
      <w:numFmt w:val="decimal"/>
      <w:suff w:val="nothing"/>
      <w:lvlText w:val="%1、"/>
      <w:lvlJc w:val="left"/>
    </w:lvl>
  </w:abstractNum>
  <w:abstractNum w:abstractNumId="5">
    <w:nsid w:val="7228BF0E"/>
    <w:multiLevelType w:val="singleLevel"/>
    <w:tmpl w:val="7228BF0E"/>
    <w:lvl w:ilvl="0" w:tentative="0">
      <w:start w:val="1"/>
      <w:numFmt w:val="bullet"/>
      <w:lvlText w:val=""/>
      <w:lvlJc w:val="left"/>
      <w:pPr>
        <w:ind w:left="420" w:hanging="420"/>
      </w:pPr>
      <w:rPr>
        <w:rFonts w:hint="default" w:ascii="Wingdings" w:hAnsi="Wingdings"/>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046D4B"/>
    <w:rsid w:val="00044EF9"/>
    <w:rsid w:val="000D4CED"/>
    <w:rsid w:val="000E3034"/>
    <w:rsid w:val="00173165"/>
    <w:rsid w:val="001B22A7"/>
    <w:rsid w:val="001E6950"/>
    <w:rsid w:val="001E7711"/>
    <w:rsid w:val="00210D0B"/>
    <w:rsid w:val="00222B98"/>
    <w:rsid w:val="00281A94"/>
    <w:rsid w:val="00286608"/>
    <w:rsid w:val="002B475A"/>
    <w:rsid w:val="002C08F9"/>
    <w:rsid w:val="002C7629"/>
    <w:rsid w:val="002D09C8"/>
    <w:rsid w:val="002D4977"/>
    <w:rsid w:val="00305E22"/>
    <w:rsid w:val="003D717A"/>
    <w:rsid w:val="00442EC9"/>
    <w:rsid w:val="00473DE5"/>
    <w:rsid w:val="004E0C8F"/>
    <w:rsid w:val="005851A4"/>
    <w:rsid w:val="005B1C22"/>
    <w:rsid w:val="0067787A"/>
    <w:rsid w:val="0068271E"/>
    <w:rsid w:val="006B0DCA"/>
    <w:rsid w:val="006B1F59"/>
    <w:rsid w:val="006C177B"/>
    <w:rsid w:val="00753406"/>
    <w:rsid w:val="00757A04"/>
    <w:rsid w:val="00765E54"/>
    <w:rsid w:val="007727DC"/>
    <w:rsid w:val="007D154E"/>
    <w:rsid w:val="008A2DE2"/>
    <w:rsid w:val="008F7296"/>
    <w:rsid w:val="00905C1D"/>
    <w:rsid w:val="00924331"/>
    <w:rsid w:val="00AB52D4"/>
    <w:rsid w:val="00AE5F38"/>
    <w:rsid w:val="00AE6D73"/>
    <w:rsid w:val="00B2156F"/>
    <w:rsid w:val="00B443BA"/>
    <w:rsid w:val="00B86BF3"/>
    <w:rsid w:val="00C667BD"/>
    <w:rsid w:val="00CC19FE"/>
    <w:rsid w:val="00CE56A1"/>
    <w:rsid w:val="00D73C9D"/>
    <w:rsid w:val="00D861A7"/>
    <w:rsid w:val="00DB03A9"/>
    <w:rsid w:val="00DE6939"/>
    <w:rsid w:val="00E01FF1"/>
    <w:rsid w:val="00E358FA"/>
    <w:rsid w:val="00E811F9"/>
    <w:rsid w:val="00EC6054"/>
    <w:rsid w:val="00EE0AF4"/>
    <w:rsid w:val="00F214EE"/>
    <w:rsid w:val="00F27076"/>
    <w:rsid w:val="00F27DC8"/>
    <w:rsid w:val="00F51762"/>
    <w:rsid w:val="00FC21EF"/>
    <w:rsid w:val="00FE4F4E"/>
    <w:rsid w:val="05047565"/>
    <w:rsid w:val="080947A0"/>
    <w:rsid w:val="0DC33BD7"/>
    <w:rsid w:val="0FBC0848"/>
    <w:rsid w:val="246666E8"/>
    <w:rsid w:val="256C157C"/>
    <w:rsid w:val="2964298F"/>
    <w:rsid w:val="31046D4B"/>
    <w:rsid w:val="39F11056"/>
    <w:rsid w:val="40207D3B"/>
    <w:rsid w:val="4C6A727D"/>
    <w:rsid w:val="58A57946"/>
    <w:rsid w:val="63BF5ABC"/>
    <w:rsid w:val="651035ED"/>
    <w:rsid w:val="69745669"/>
    <w:rsid w:val="6F097F6D"/>
    <w:rsid w:val="735824F4"/>
    <w:rsid w:val="7D11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after="240"/>
      <w:outlineLvl w:val="0"/>
    </w:pPr>
    <w:rPr>
      <w:rFonts w:ascii="仿宋_GB2312" w:hAnsi="Times New Roman" w:eastAsia="仿宋_GB2312"/>
      <w:b/>
      <w:bCs/>
      <w:kern w:val="44"/>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character" w:customStyle="1" w:styleId="16">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351</Words>
  <Characters>2007</Characters>
  <Lines>16</Lines>
  <Paragraphs>4</Paragraphs>
  <TotalTime>319</TotalTime>
  <ScaleCrop>false</ScaleCrop>
  <LinksUpToDate>false</LinksUpToDate>
  <CharactersWithSpaces>2354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2021-01-26T08:54:00Z</dcterms:created>
  <dc:creator>刘淼淼</dc:creator>
  <cp:lastModifiedBy>刘淼淼</cp:lastModifiedBy>
  <dcterms:modified xsi:type="dcterms:W3CDTF">2021-03-16T07:35:58Z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